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附件2-1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第三轮省级生态环境保护督察第二十五项整改任务完成情况表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6"/>
        <w:gridCol w:w="61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9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整改任务</w:t>
            </w:r>
          </w:p>
        </w:tc>
        <w:tc>
          <w:tcPr>
            <w:tcW w:w="6166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>运营高速公路的废旧路面材料回收利用工作推进不力，产生的87万立方米路面废旧材料回收率仅70%、利用率仅23%，成渝高速成雅公司路面废旧材料无台账记录、去向不明。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  <w:t>整改责任单位</w:t>
            </w:r>
          </w:p>
        </w:tc>
        <w:tc>
          <w:tcPr>
            <w:tcW w:w="6166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eastAsia="仿宋_GB2312"/>
                <w:color w:val="auto"/>
                <w:sz w:val="28"/>
                <w:szCs w:val="28"/>
                <w:lang w:eastAsia="zh-CN"/>
              </w:rPr>
              <w:t>四川</w:t>
            </w: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>路桥建设集团股份有限公司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整改目标</w:t>
            </w:r>
          </w:p>
        </w:tc>
        <w:tc>
          <w:tcPr>
            <w:tcW w:w="6166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>强化路面废旧材料管理，完善回收、利用台账建立，确保废旧路面材料回收率、利用率达到相关标准规范要求。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整改措施</w:t>
            </w:r>
          </w:p>
        </w:tc>
        <w:tc>
          <w:tcPr>
            <w:tcW w:w="616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>1.2023年8月底前，各运营高速公路公司、养护施工单位建立可互相印证的路面废旧材料台账，养护基地健全完善废旧材料进出台账。</w:t>
            </w:r>
          </w:p>
          <w:p>
            <w:pPr>
              <w:numPr>
                <w:numId w:val="0"/>
              </w:numPr>
              <w:jc w:val="both"/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>2.强化集团公司《高速公路养护工程管理办法（试行）》执行落实力度，将路面废旧材料利用情况纳入养护计划年度考核。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6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整改主要工作及成效</w:t>
            </w:r>
          </w:p>
        </w:tc>
        <w:tc>
          <w:tcPr>
            <w:tcW w:w="6166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both"/>
              <w:rPr>
                <w:rFonts w:hint="default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>目前公司所属企业涉及运营高速公路、养护的公司已建立健全完善的废旧材料进出台账。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>2.已按照蜀道集团的《高速公路养护管理办法》将路面废旧材料利用情况纳入各公司养护计划年度考核。</w:t>
            </w:r>
            <w:bookmarkStart w:id="0" w:name="_GoBack"/>
            <w:bookmarkEnd w:id="0"/>
          </w:p>
        </w:tc>
      </w:tr>
    </w:tbl>
    <w:p>
      <w:pPr>
        <w:jc w:val="both"/>
        <w:rPr>
          <w:rFonts w:hint="eastAsia" w:ascii="方正小标宋简体" w:hAnsi="方正小标宋简体" w:eastAsia="方正小标宋简体" w:cs="方正小标宋简体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64A66E"/>
    <w:multiLevelType w:val="singleLevel"/>
    <w:tmpl w:val="D164A66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5ODc3ZjAyNDU1ODM5OWQ4ZTM2NTJhMTFkYjIyZWMifQ=="/>
  </w:docVars>
  <w:rsids>
    <w:rsidRoot w:val="66D40DA9"/>
    <w:rsid w:val="0C7513D0"/>
    <w:rsid w:val="0E8C0659"/>
    <w:rsid w:val="18DB73AD"/>
    <w:rsid w:val="19341F4D"/>
    <w:rsid w:val="26C2328E"/>
    <w:rsid w:val="2F92721B"/>
    <w:rsid w:val="3441187A"/>
    <w:rsid w:val="43C0001A"/>
    <w:rsid w:val="5A89319F"/>
    <w:rsid w:val="665E6F19"/>
    <w:rsid w:val="66D40DA9"/>
    <w:rsid w:val="67A33D00"/>
    <w:rsid w:val="6CDC1854"/>
    <w:rsid w:val="73E056D6"/>
    <w:rsid w:val="76582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428</Words>
  <Characters>446</Characters>
  <Lines>0</Lines>
  <Paragraphs>0</Paragraphs>
  <TotalTime>8</TotalTime>
  <ScaleCrop>false</ScaleCrop>
  <LinksUpToDate>false</LinksUpToDate>
  <CharactersWithSpaces>446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2023-07-06T07:10:00Z</dcterms:created>
  <dc:creator>呆。</dc:creator>
  <cp:lastModifiedBy>呆。</cp:lastModifiedBy>
  <cp:lastPrinted>2023-08-11T02:43:00Z</cp:lastPrinted>
  <dcterms:modified xsi:type="dcterms:W3CDTF">2023-08-29T01:51:11Z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CA2FA58A44B647DDB3F24F0FB68349E5_11</vt:lpwstr>
  </property>
</Properties>
</file>